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jc w:val="right"/>
        <w:tblLook w:val="04A0" w:firstRow="1" w:lastRow="0" w:firstColumn="1" w:lastColumn="0" w:noHBand="0" w:noVBand="1"/>
      </w:tblPr>
      <w:tblGrid>
        <w:gridCol w:w="9464"/>
      </w:tblGrid>
      <w:tr w:rsidR="003004AB" w:rsidRPr="006E2D18" w14:paraId="72680FFC" w14:textId="77777777" w:rsidTr="003004AB">
        <w:trPr>
          <w:jc w:val="right"/>
        </w:trPr>
        <w:tc>
          <w:tcPr>
            <w:tcW w:w="9464" w:type="dxa"/>
            <w:shd w:val="clear" w:color="auto" w:fill="auto"/>
          </w:tcPr>
          <w:tbl>
            <w:tblPr>
              <w:tblW w:w="9248" w:type="dxa"/>
              <w:jc w:val="right"/>
              <w:tblLook w:val="04A0" w:firstRow="1" w:lastRow="0" w:firstColumn="1" w:lastColumn="0" w:noHBand="0" w:noVBand="1"/>
            </w:tblPr>
            <w:tblGrid>
              <w:gridCol w:w="9248"/>
            </w:tblGrid>
            <w:tr w:rsidR="003004AB" w:rsidRPr="00716BB9" w14:paraId="513E84D4" w14:textId="77777777" w:rsidTr="00ED01F5">
              <w:trPr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6A296618" w14:textId="35DD1EFF" w:rsidR="003004AB" w:rsidRPr="00716BB9" w:rsidRDefault="003004AB" w:rsidP="007B128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</w:t>
                  </w:r>
                  <w:r w:rsidR="00BC75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7B128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004AB" w:rsidRPr="00716BB9" w14:paraId="0E96CA13" w14:textId="77777777" w:rsidTr="00ED01F5">
              <w:trPr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3FB99A84" w14:textId="5DFA67A8" w:rsidR="003004AB" w:rsidRPr="00716BB9" w:rsidRDefault="002C748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 </w:t>
                  </w:r>
                  <w:r w:rsidR="003004AB"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r w:rsidR="003004AB"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Министерства науки</w:t>
                  </w:r>
                </w:p>
                <w:p w14:paraId="4E698BB3" w14:textId="77777777" w:rsidR="003004AB" w:rsidRPr="00716BB9" w:rsidRDefault="003004A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высшего образования</w:t>
                  </w:r>
                </w:p>
                <w:p w14:paraId="42213263" w14:textId="77777777" w:rsidR="003004AB" w:rsidRPr="00716BB9" w:rsidRDefault="003004A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</w:tc>
            </w:tr>
            <w:tr w:rsidR="003004AB" w:rsidRPr="00716BB9" w14:paraId="3A01C894" w14:textId="77777777" w:rsidTr="00ED01F5">
              <w:trPr>
                <w:trHeight w:val="397"/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49D2E0AA" w14:textId="77777777" w:rsidR="003004AB" w:rsidRPr="00716BB9" w:rsidRDefault="003004AB" w:rsidP="003004AB">
                  <w:pPr>
                    <w:spacing w:after="0" w:line="240" w:lineRule="auto"/>
                    <w:ind w:left="474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«___</w:t>
                  </w:r>
                  <w:proofErr w:type="gramStart"/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_________2023 г. №____</w:t>
                  </w:r>
                </w:p>
              </w:tc>
            </w:tr>
          </w:tbl>
          <w:p w14:paraId="1B60FA1E" w14:textId="00B9922D" w:rsidR="003004AB" w:rsidRPr="006E2D18" w:rsidRDefault="003004AB" w:rsidP="00300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04AB" w:rsidRPr="006E2D18" w14:paraId="5CFCF960" w14:textId="77777777" w:rsidTr="003004AB">
        <w:trPr>
          <w:jc w:val="right"/>
        </w:trPr>
        <w:tc>
          <w:tcPr>
            <w:tcW w:w="9464" w:type="dxa"/>
            <w:shd w:val="clear" w:color="auto" w:fill="auto"/>
          </w:tcPr>
          <w:p w14:paraId="1D3A3481" w14:textId="77777777" w:rsidR="003004AB" w:rsidRPr="006E2D18" w:rsidRDefault="003004AB" w:rsidP="003004AB">
            <w:pPr>
              <w:spacing w:after="0" w:line="240" w:lineRule="auto"/>
              <w:ind w:left="50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60DD884" w14:textId="77777777" w:rsidR="003004AB" w:rsidRDefault="003004AB" w:rsidP="0028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41ABEE" w14:textId="01AE88A8" w:rsidR="005802B9" w:rsidRPr="006E2D18" w:rsidRDefault="000862AD" w:rsidP="0028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</w:t>
      </w:r>
      <w:r w:rsidR="0028199F" w:rsidRPr="006E2D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BC8D90D" w14:textId="1A5AC5AE" w:rsidR="0028199F" w:rsidRDefault="000862AD" w:rsidP="00086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62AD">
        <w:rPr>
          <w:rFonts w:ascii="Times New Roman" w:eastAsia="Calibri" w:hAnsi="Times New Roman" w:cs="Times New Roman"/>
          <w:b/>
          <w:bCs/>
          <w:sz w:val="28"/>
          <w:szCs w:val="28"/>
        </w:rPr>
        <w:t>к условиям реализации экспериментальных образовательных программ интернатуры</w:t>
      </w:r>
      <w:r w:rsidR="00BC7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специальности</w:t>
      </w:r>
      <w:r w:rsidR="00A812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36.00.0</w:t>
      </w:r>
      <w:r w:rsidR="007B128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A8123D" w:rsidRPr="00A8123D">
        <w:t xml:space="preserve"> </w:t>
      </w:r>
      <w:r w:rsidR="007B1289" w:rsidRPr="007B1289">
        <w:rPr>
          <w:rFonts w:ascii="Times New Roman" w:eastAsia="Calibri" w:hAnsi="Times New Roman" w:cs="Times New Roman"/>
          <w:b/>
          <w:bCs/>
          <w:sz w:val="28"/>
          <w:szCs w:val="28"/>
        </w:rPr>
        <w:t>Ветеринарная хирургия животных</w:t>
      </w:r>
    </w:p>
    <w:p w14:paraId="5BF9BB72" w14:textId="77777777" w:rsidR="009C184C" w:rsidRDefault="009C184C" w:rsidP="00086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DE2D74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14:paraId="54829547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5B257" w14:textId="23571674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95230" w:rsidRPr="00C9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экспериментальных образовательных программ интернатуры по специальности </w:t>
      </w:r>
      <w:proofErr w:type="gramStart"/>
      <w:r w:rsidR="00C95230" w:rsidRPr="00C95230">
        <w:rPr>
          <w:rFonts w:ascii="Times New Roman" w:eastAsia="Times New Roman" w:hAnsi="Times New Roman" w:cs="Times New Roman"/>
          <w:sz w:val="28"/>
          <w:szCs w:val="28"/>
          <w:lang w:eastAsia="ru-RU"/>
        </w:rPr>
        <w:t>36.00.04  Ветеринарная</w:t>
      </w:r>
      <w:proofErr w:type="gramEnd"/>
      <w:r w:rsidR="00C95230" w:rsidRPr="00C9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хирургия животных разработаны во исполнение Положения о проведении эксперимента по разработке и реализации экспериментальных образовательных программ высшего образования - программ интернатуры по специальностям в области ветеринарии, утвержденного постановлением Правительства Российской Федерации от 21 июня 2023 г. № 1013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B77C82" w14:textId="4EBC173D" w:rsidR="009C184C" w:rsidRPr="009C184C" w:rsidRDefault="00213F72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экспериментальных образовательных программ интернатуры по специальности 36.00.04  Ветеринарная хирургия животных (далее – Требования) являются обязательными к применению при проведении эксперимента по разработке и реализации экспериментальных образовательных программ высшего образования - программ интернатуры по  специальности 36.00.04  Ветеринарная хирургия животных (далее – программа интернатуры) </w:t>
      </w:r>
      <w:r w:rsidR="009C184C"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бюджетном образовательном учреждении высшего образования «Московская государственная академия ветеринарной медицины и биотехнологии - МВА имени К.И. Скрябина» и федеральном государственном бюджетном образовательном учреждении высшего образования «Донской государственный технический университет» (далее соответственно – академия, университет).</w:t>
      </w:r>
    </w:p>
    <w:p w14:paraId="1D307D51" w14:textId="20D452EF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К освоению программ интернатуры, допускаются лица, имеющие диплом специалиста по специальности «Ветеринария».</w:t>
      </w:r>
    </w:p>
    <w:p w14:paraId="68444A17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Обучение по программе интернатуры в академии и университете осуществляется </w:t>
      </w:r>
      <w:r w:rsidRPr="009C18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очной форме.</w:t>
      </w:r>
    </w:p>
    <w:p w14:paraId="1EDB4101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При разработке программы интернатуры академия и университет формируют требования к результатам ее освоения в виде базовых, общепрофессиональных и профессиональных компетенций выпускников (далее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- компетенции) в соответствии с разделами 3 и 5 настоящих Требований.</w:t>
      </w:r>
    </w:p>
    <w:p w14:paraId="5C598560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При реализации программы интернатуры академия и университет вправе применять электронное обучение, дистанционные образовательные технологии.</w:t>
      </w:r>
    </w:p>
    <w:p w14:paraId="715E8EAF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интернатуры с применением исключительно электронного обучения, дистанционных образовательных технологий не допускается.</w:t>
      </w:r>
    </w:p>
    <w:p w14:paraId="5394D578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0FCE4D37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Реализация программы интернатуры осуществляется академией и университетом как самостоятельно, так и посредством сетевой формы обучения, объем которой не может составлять более 25% в организации-партнере от общего объема программы.</w:t>
      </w:r>
    </w:p>
    <w:p w14:paraId="7874EAAE" w14:textId="6280BDFD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Программа интернатуры реализуется на государственном языке Российской Федерации</w:t>
      </w:r>
      <w:r w:rsidR="001901FE">
        <w:rPr>
          <w:rStyle w:val="af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BFBCA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При разработке программы интернатуры академия и университет выбирают специализацию из перечня, определенного характеристикой соответствующей специальности, установленной в разделе 5 настоящих Требований (далее - характеристика программы интернатуры).</w:t>
      </w:r>
    </w:p>
    <w:p w14:paraId="3BD7417C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Содержание программ интернатуры должно быть не ниже требований к условиям реализации образовательных программ высшего образования - программ ординатуры и определяется программами интернатуры, разрабатываемыми и утверждаемыми академией и университетом самостоятельно.</w:t>
      </w:r>
    </w:p>
    <w:p w14:paraId="4BF8085D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5BB38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ТРЕБОВАНИЯ К СТРУКТУРЕ И ОБЪЕМУ</w:t>
      </w:r>
    </w:p>
    <w:p w14:paraId="2ACC083F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ИНТЕРНАТУРЫ</w:t>
      </w:r>
    </w:p>
    <w:p w14:paraId="70651580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F6CDAD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Объем программы интернатуры устанавливается в соответствии с характеристикой программы интернатуры.</w:t>
      </w:r>
    </w:p>
    <w:p w14:paraId="473D618E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Срок получения образования по программе интернатуры (вне зависимости от применяемых образовательных технологий) в очной форме обучения устанавливается в соответствии с характеристикой программы интернатуры.</w:t>
      </w:r>
    </w:p>
    <w:p w14:paraId="25965484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интернатуры при обучении по индивидуальному учебному плану инвалидов и лиц с ОВЗ может быть увеличен по их заявлению не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чем на 6 месяцев по сравнению со сроком получения образования, установленным для соответствующей формы обучения.</w:t>
      </w:r>
    </w:p>
    <w:p w14:paraId="1334FF95" w14:textId="5D570D5B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Объем программы интернатуры, реализуемый за один учебный год, составляет не более 70 </w:t>
      </w:r>
      <w:r w:rsidR="00EE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зачетных единиц (далее </w:t>
      </w:r>
      <w:r w:rsidR="00EE49C2" w:rsidRPr="002C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E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применяемых образовательных технологий, реализации программ интернатуры с использованием сетевой формы, реализации программ</w:t>
      </w:r>
      <w:r w:rsidR="006416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по индивидуальному учебному плану.</w:t>
      </w:r>
    </w:p>
    <w:p w14:paraId="733DB05F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Академия и университет в соответствии с пунктами 2.1 и 2.2 Требований самостоятельно определяют:</w:t>
      </w:r>
    </w:p>
    <w:p w14:paraId="20A42406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 получения образования по программе интернатуры по индивидуальному учебному;</w:t>
      </w:r>
    </w:p>
    <w:p w14:paraId="5406C93A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программы интернатуры, реализуемый за один учебный год.</w:t>
      </w:r>
    </w:p>
    <w:p w14:paraId="2362A81D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Структура программы интернатуры включает следующие блоки:</w:t>
      </w:r>
    </w:p>
    <w:p w14:paraId="1AD8258C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1 «Дисциплины (модули)»; </w:t>
      </w:r>
    </w:p>
    <w:p w14:paraId="71252A7F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2 «Практика»;</w:t>
      </w:r>
    </w:p>
    <w:p w14:paraId="39DC44A5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 «Государственная итоговая аттестация».</w:t>
      </w:r>
    </w:p>
    <w:p w14:paraId="5242472E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90631054"/>
      <w:bookmarkStart w:id="1" w:name="_Hlk119274053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При разработке и реализации программ интернатуры обучающимся обеспечивается возможность освоения </w:t>
      </w:r>
      <w:bookmarkStart w:id="2" w:name="_Hlk118675577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элективных дисциплин (модулей) </w:t>
      </w:r>
      <w:bookmarkEnd w:id="2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факультативных дисциплин (модулей).</w:t>
      </w:r>
    </w:p>
    <w:p w14:paraId="53B1965D" w14:textId="6FA84003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дисциплины (модули) не включаются в объем программ</w:t>
      </w:r>
      <w:r w:rsidR="006416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интернатуры.</w:t>
      </w:r>
    </w:p>
    <w:bookmarkEnd w:id="0"/>
    <w:bookmarkEnd w:id="1"/>
    <w:p w14:paraId="5EE241C7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В Блок 2 «Практика» входит производственная практика (далее - практика). Наименования типов практик, способы их проведения и объем устанавливаются академией и университетом самостоятельно в соответствии с требованиями характеристики программы интернатуры.</w:t>
      </w:r>
    </w:p>
    <w:p w14:paraId="290260E3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интернатуры академия и университет осуществляют проведение практик в организациях, деятельность которых соответствует специализации программы интернатуры, или в структурных подразделениях академии и университета, предназначенных для проведения практической подготовки выпускников.</w:t>
      </w:r>
    </w:p>
    <w:p w14:paraId="5B4BA607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В Блок 3 «Государственная итоговая аттестация» входит подготовка к процедуре защиты и защита выпускной квалификационной работы.</w:t>
      </w:r>
    </w:p>
    <w:p w14:paraId="002D31EA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bookmarkStart w:id="3" w:name="_Hlk119275109"/>
      <w:bookmarkStart w:id="4" w:name="_Hlk90162691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программ интернатуры академией и университетом выделяются обязательная часть и часть, формируемая участниками образовательных отношений.</w:t>
      </w:r>
    </w:p>
    <w:p w14:paraId="60E0898A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1 «Дисциплины (модули)», могут включаться в обязательную часть образовательных программ и (или) в часть, формируемую участниками образовательных отношений.</w:t>
      </w:r>
    </w:p>
    <w:p w14:paraId="2109616E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обязательную часть программ интернатуры включаются:</w:t>
      </w:r>
    </w:p>
    <w:p w14:paraId="7FEB8935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 2 «Практика»;</w:t>
      </w:r>
    </w:p>
    <w:p w14:paraId="09FBA4B4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 «Государственная итоговая аттестация»;</w:t>
      </w:r>
    </w:p>
    <w:p w14:paraId="15EA36FB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интернатуры.</w:t>
      </w:r>
    </w:p>
    <w:bookmarkEnd w:id="3"/>
    <w:bookmarkEnd w:id="4"/>
    <w:p w14:paraId="554BE764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Объем программы интернатуры в форме контактной работы обучающихся с педагогическими работниками академии и университета и (или) лицами, привлекаемыми организацией к реализации программ интернатуры на иных условиях (в том числе с применением дистанционных образовательных </w:t>
      </w:r>
      <w:bookmarkStart w:id="5" w:name="_Hlk118664953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технологий) </w:t>
      </w:r>
      <w:bookmarkEnd w:id="5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Блоку 1 «Дисциплины (модули)» от общей трудоемкости дисциплин в часах должен составлять не менее 60 процентов.</w:t>
      </w:r>
    </w:p>
    <w:p w14:paraId="5BF8C79C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Академия и университет должны предоставлять инвалидам и лицам с ОВЗ (по их заявлению) возможность обучения по программам интернатуры, учитывающим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720E952B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D893C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ТРЕБОВАНИЯ К РЕЗУЛЬТАТАМ ОСВОЕНИЯ</w:t>
      </w:r>
    </w:p>
    <w:p w14:paraId="4F068AF4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ИНТЕРНАТУРЫ</w:t>
      </w:r>
    </w:p>
    <w:p w14:paraId="490D8968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5D41A9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18677161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При разработке программ интернатуры академия и университет формирует требования к результатам их освоения в виде компетенций выпускников следующих видов:</w:t>
      </w:r>
    </w:p>
    <w:p w14:paraId="3FACB2EE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компетенции (на уровень интернатуры);</w:t>
      </w:r>
    </w:p>
    <w:p w14:paraId="5F5939B0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 компетенции (по специальности);</w:t>
      </w:r>
    </w:p>
    <w:p w14:paraId="7D06FDFC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 (по специализации программы интернатуры) (далее вместе - компетенции).</w:t>
      </w:r>
    </w:p>
    <w:p w14:paraId="104A9FB7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18662831"/>
      <w:bookmarkEnd w:id="6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bookmarkStart w:id="8" w:name="_Hlk118676740"/>
      <w:bookmarkEnd w:id="7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интернатуры должны устанавливать следующие базовые компетенции и результаты обучения по их достижению (далее – БК) единые для уровня образования:</w:t>
      </w:r>
    </w:p>
    <w:p w14:paraId="19DDEA01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17"/>
        <w:gridCol w:w="2695"/>
        <w:gridCol w:w="3124"/>
        <w:gridCol w:w="3275"/>
      </w:tblGrid>
      <w:tr w:rsidR="009C184C" w:rsidRPr="009C184C" w14:paraId="3DCBF911" w14:textId="77777777" w:rsidTr="00CC5DBA">
        <w:trPr>
          <w:trHeight w:val="43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6D684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14:paraId="114081F6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8584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046" w14:textId="77777777" w:rsidR="009C184C" w:rsidRPr="009C184C" w:rsidRDefault="009C184C" w:rsidP="009C18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C184C" w:rsidRPr="009C184C" w14:paraId="3C42D1A3" w14:textId="77777777" w:rsidTr="00CC5DBA">
        <w:trPr>
          <w:trHeight w:val="70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0A2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06E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CD1" w14:textId="77777777" w:rsidR="009C184C" w:rsidRPr="009C184C" w:rsidRDefault="009C184C" w:rsidP="009C18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1E3" w14:textId="77777777" w:rsidR="009C184C" w:rsidRPr="009C184C" w:rsidRDefault="009C184C" w:rsidP="009C18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9C184C" w:rsidRPr="009C184C" w14:paraId="21CA8D70" w14:textId="77777777" w:rsidTr="00CC5DBA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1B0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БК-1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739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разрабатывать, реализовывать и управлять проектами в области ветеринарии.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09F7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нормативную правовую базу, параметры, стандарты и основы управления проектами в области ветеринарии.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34C7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регламентировать, контролировать и оценивать деятельность проектной группы.</w:t>
            </w:r>
          </w:p>
        </w:tc>
      </w:tr>
      <w:tr w:rsidR="009C184C" w:rsidRPr="009C184C" w14:paraId="40BD5DBE" w14:textId="77777777" w:rsidTr="00CC5DBA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EAD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БК-2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ED82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руководить персоналом в области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550B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технологии управления персоналом и повышения эффективности командной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3F0C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руководить персоналом в области профессиональной деятельности.</w:t>
            </w:r>
          </w:p>
        </w:tc>
      </w:tr>
      <w:tr w:rsidR="009C184C" w:rsidRPr="009C184C" w14:paraId="298FD77C" w14:textId="77777777" w:rsidTr="00CC5DBA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635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БК-3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0456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осуществлять профессиональную и научную коммуникацию на государственном и иностранном языках.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0BFE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представления информации в профессиональной и научной коммуникации на государственном и иностранном языках.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E451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профессиональную и научную коммуникацию на государственном и иностранном языках.</w:t>
            </w:r>
          </w:p>
        </w:tc>
      </w:tr>
      <w:tr w:rsidR="009C184C" w:rsidRPr="009C184C" w14:paraId="6E8E5231" w14:textId="77777777" w:rsidTr="00CC5DBA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4A5" w14:textId="77777777" w:rsidR="009C184C" w:rsidRPr="009C184C" w:rsidRDefault="009C184C" w:rsidP="009C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6430" w14:textId="77777777" w:rsidR="009C184C" w:rsidRPr="00641679" w:rsidRDefault="009C184C" w:rsidP="009C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Способен обеспечить ветеринарную безопасность в соответствии с законодательством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72C2" w14:textId="77777777" w:rsidR="009C184C" w:rsidRPr="00641679" w:rsidRDefault="009C184C" w:rsidP="009C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законодательство Российской Федерации в части требований к обеспечению ветеринарной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56D7" w14:textId="77777777" w:rsidR="009C184C" w:rsidRPr="00641679" w:rsidRDefault="009C184C" w:rsidP="009C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мероприятия, направленные на обеспечение ветеринарной безопасности в соответствии с законодательством Российской Федерации.</w:t>
            </w:r>
          </w:p>
        </w:tc>
      </w:tr>
    </w:tbl>
    <w:p w14:paraId="64F404B4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p w14:paraId="0065649B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Общепрофессиональные компетенции и результаты обучения по их достижению устанавливаются академией и университетом в соответствии с</w:t>
      </w: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 программы интернатуры.</w:t>
      </w:r>
    </w:p>
    <w:p w14:paraId="4CD14169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Профессиональные компетенции и результаты обучения по их достижению определяются академией и университетом самостоятельно на основе профессиональных стандартов, соответствующих профессиональной деятельности выпускников (при наличии), и (или) с учетом перспектив развития рынка труда.</w:t>
      </w:r>
    </w:p>
    <w:p w14:paraId="338DD674" w14:textId="77777777" w:rsidR="005059EE" w:rsidRPr="005059EE" w:rsidRDefault="005059EE" w:rsidP="005059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Академия и университет осуществляют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(http://profstandart.rosmintrud.ru) (при наличии соответствующих профессиональных стандартов)</w:t>
      </w:r>
      <w:r w:rsidRPr="005059E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Pr="00505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49959F" w14:textId="77777777" w:rsidR="009C184C" w:rsidRPr="009C184C" w:rsidRDefault="009C184C" w:rsidP="009C184C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При разработке программ интернатуры академия и университет вправе дополнить набор базовых компетенций и общепрофессиональных компетенций и (или) набор результатов достижений указанных компетенций с учетом специализации программы интернатуры, а также приоритетов научно-технологического развития Российской Федерации и плана мероприятий по реализации Стратегии научно-технологического развития Российской Федерации.</w:t>
      </w:r>
    </w:p>
    <w:p w14:paraId="67FDE2AE" w14:textId="77777777" w:rsidR="009C184C" w:rsidRPr="009C184C" w:rsidRDefault="009C184C" w:rsidP="009C184C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 Академия и университет самостоятельно планируют результаты обучения по дисциплинам (модулям) и практикам.</w:t>
      </w:r>
    </w:p>
    <w:p w14:paraId="11EE1909" w14:textId="6A4C4D6F" w:rsidR="009C184C" w:rsidRPr="009C184C" w:rsidRDefault="009C184C" w:rsidP="009C184C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компетенций, установленных программами интернатуры,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соответствующих характеристиках программ</w:t>
      </w:r>
      <w:r w:rsidR="00F53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интернатуры.</w:t>
      </w:r>
    </w:p>
    <w:p w14:paraId="7643305A" w14:textId="77777777" w:rsidR="009C184C" w:rsidRPr="009C184C" w:rsidRDefault="009C184C" w:rsidP="009C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2F4D8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ТРЕБОВАНИЯ К УСЛОВИЯМ РЕАЛИЗАЦИИ</w:t>
      </w:r>
    </w:p>
    <w:p w14:paraId="2897B798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ИНТЕРНАТУРЫ</w:t>
      </w:r>
    </w:p>
    <w:p w14:paraId="5F6B13BD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12B7A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Требования к условиям реализации программ интернатуры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 интернатуры, а также требования к применяемым механизмам оценки качества образовательной деятельности и подготовки обучающихся по программам интернатуры.</w:t>
      </w:r>
    </w:p>
    <w:p w14:paraId="3E4DBDCA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Общесистемные требования к реализации программ интернатуры.</w:t>
      </w:r>
    </w:p>
    <w:p w14:paraId="4776B963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Академия и университет должны располагать на праве собственности и (или) ином законном основании материально-техническим обеспечением образовательной деятельности (помещениями и оборудованием) для реализации программ интернатуры по Блоку 1 «Дисциплины (модули)», Блоку 2 «Практика», Блоку 3 «Государственная итоговая аттестация» в соответствии с учебным планом.</w:t>
      </w:r>
    </w:p>
    <w:p w14:paraId="30B2DDFD" w14:textId="6A62D86A" w:rsidR="009C184C" w:rsidRPr="009C184C" w:rsidRDefault="002F6528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и университет</w:t>
      </w:r>
      <w:r w:rsidR="009C184C"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184C"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безопасные условия обучения во всех местах осуществления образовательной деятельности, а также местах проведении практики и практической подготовки в соответствии с установленными санитарными нормами, обеспечивающими безопасность обучающихся, а также работников образовательной организации.</w:t>
      </w:r>
    </w:p>
    <w:p w14:paraId="58FAF046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Каждый обучающийся в течение всего периода обучения должен быть обеспечен индивидуальным доступом к электронной информационно-образовательной среде, из любой точки, в которой имеется доступ к информационно-телекоммуникационной сети Интернет (далее - сеть «Интернет»), как на территории академии и университета,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2DE0A491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академии и университета должна обеспечивать: </w:t>
      </w:r>
    </w:p>
    <w:p w14:paraId="1E16212D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52036E4C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электронного портфолио обучающегося, состав которого определяет академия и университет самостоятельно.</w:t>
      </w:r>
    </w:p>
    <w:p w14:paraId="68AB473A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квалификацией работников,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0DD8724F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Академия и университет должны предоставлять инвалидам и лицам с ОВЗ (по их заявлению) возможность обучения по программам интернатуры учитывающей особенности их физического развития и, при возможности, обеспечивающей социальную адаптацию указанных лиц.</w:t>
      </w:r>
    </w:p>
    <w:p w14:paraId="43A60C4D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bookmarkStart w:id="9" w:name="_Hlk118666070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материально-техническому и учебно-методическому обеспечению </w:t>
      </w:r>
      <w:bookmarkStart w:id="10" w:name="_Hlk118665151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интернатуры.</w:t>
      </w:r>
      <w:bookmarkEnd w:id="9"/>
    </w:p>
    <w:bookmarkEnd w:id="10"/>
    <w:p w14:paraId="5432CA60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Помещения должны представлять собой учебные аудитории для проведения учебных занятий всех видов, предусмотренных образовательными программами,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AED579F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необходимый для реализации программы интернатуры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14:paraId="7E4777BA" w14:textId="14FB3B22" w:rsidR="009C184C" w:rsidRPr="009C184C" w:rsidRDefault="009C184C" w:rsidP="009C1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C5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учебно-диагностический (клинический) центр для лечения мелких домашних животных</w:t>
      </w: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отделениями хирургии, ортопедии, нейрохирургии, офтальмологии, анестезиологии и интенсивной терапии, эндоскопии,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репродуктологии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лабораториями, оснащенными оборудованием – 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УЗИ сканер с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кардиопакетом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Доплером, цифровой рентгенографический аппарат,</w:t>
      </w:r>
      <w:r w:rsidRPr="009C18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специализированная ветеринарная эндоскопическая система для выполнения гибкой эндоскопии дыхательной и пищеварительной систем, включая установку для мойки эндоскопов, набор для эндоскопической резекции слизистой, баллонный дилататор, компьютерный томограф и</w:t>
      </w:r>
      <w:r w:rsidR="00EC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EC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магнитнорезонансный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томограф, электрокардиограф,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электростимулятор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лабораторный, портативный электронный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дерматоскоп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встроенной камерой для ветеринарии,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электрокоагулятор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монополярных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рассечений и коагуляции, аппарат высокочастотный электрохирургический,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ветеринарный, камеры для кислородной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подогреватели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растворов,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биопсийные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системы, кислородные концентраторы, шприцевые и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инфузионные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насосы, ультразвуковой, 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набор ветеринарный стоматологический,</w:t>
      </w:r>
      <w:r w:rsidRPr="009C18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ветеринарные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глюкометры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облучатель бактерицидный, аппарат наркозно-дыхательный, аппарат искусственной вентиляции легких,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инфузомат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отсасыватель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послеоперационный, дефибриллятор с функцией синхронизации, аппарат для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мониторирования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функциональных показателей, анализатор дыхательной смеси,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электроэнцефалограф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гастродуоденоскоп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91C46" w14:textId="77777777" w:rsidR="009C184C" w:rsidRPr="009C184C" w:rsidRDefault="009C184C" w:rsidP="009C18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C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 для содержания мелких домашних животных,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укомплектованный специализированным инвентарем, приборами и оборудованием;</w:t>
      </w:r>
    </w:p>
    <w:p w14:paraId="3C4E6D17" w14:textId="77777777" w:rsidR="009C184C" w:rsidRPr="009C184C" w:rsidRDefault="009C184C" w:rsidP="009C18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7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реанимации и интенсивной терапии для мелких домашних животных,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оснащенное оборудованием: аппарат наркозно-дыхательный, аппарат искусственной вентиляции легких,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инфузомат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отсасыватель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послеоперационный, дефибриллятор с функцией синхронизации, аппарат для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функциональных показателей, анализатор дыхательной смеси,</w:t>
      </w:r>
      <w:r w:rsidRPr="009C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ветеринарный, физиотерапевтические аппараты для животных,  компьютерный аудиометр для ветеринарии, камеры для кислородной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подогреватели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растворов,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инфузоматы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BE605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74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учебно-диагностический (клинический) центр для лечения продуктивных видов животных,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отделения для осмотра и содержания животных, лазарет, операционные, лаборатории, оснащенные оборудованием: стол операционный хирургический многофункциональный универсальный, станки для крупных и мелких продуктивных животных, обрезки и очистки копытец, кастрации; площадки для выгула животных;</w:t>
      </w:r>
    </w:p>
    <w:p w14:paraId="6E741F69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7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база:</w:t>
      </w: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для фиксации животных, клинического исследования, хирургии и микрохирургии, магнитные зонды, зонды для гидротерапии желудка, катетеры,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дармтампонаторы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шприцы и иглы, системы для капельных вливаний, набор для проведения неврологического осмотра, противошоковый набор, набор и укладка для экстренных профилактических и лечебных мероприятий;</w:t>
      </w:r>
    </w:p>
    <w:p w14:paraId="77E5F7ED" w14:textId="2857620C" w:rsidR="009C184C" w:rsidRPr="009C184C" w:rsidRDefault="009C184C" w:rsidP="009C1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74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специализированное диагностическое и лабораторное оборудование для </w:t>
      </w:r>
      <w:r w:rsidRPr="0027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продуктивных </w:t>
      </w:r>
      <w:r w:rsidRPr="0027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животных: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УЗИ сканер с ректальным датчиком для крупных животных, цифровой рентгенографический аппарат, электрокардиограф,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электростимулятор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лабораторный,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эстромер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компьютерный томограф и/или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магнитнорезонансный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томограф, портативный электронный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дерматоскоп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встроенной камерой для ветеринарии,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электрокоагулятор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монополярных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рассечений и коагуляции, аппарат высокочастотный электрохирургический,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ветеринарный, физиотерапевтические аппараты для животных,  компьютерный аудиометр для ветеринарии, камеры для кислородной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подогреватели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растворов,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лампа Вуда для ветеринарии,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биопсийные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системы, кислородные концентраторы, шприцевые и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инфузионные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насосы, 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ультразвуковой, набор ветеринарный стоматологический,</w:t>
      </w:r>
      <w:r w:rsidRPr="009C18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ветеринарные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глюкометры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облучатель бактерицидный, аппарат наркозно-дыхательный, аппарат искусственной вентиляции легких,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инфузомат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отсасыватель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послеоперационный, дефибриллятор с функцией синхронизации, аппарат для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мониторирования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функциональных показателей, анализатор дыхательной смеси,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электроэнцефалограф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гастродуоденоскоп</w:t>
      </w:r>
      <w:proofErr w:type="spellEnd"/>
      <w:r w:rsidRPr="009C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специализированная ветеринарная эндоскопическая система для выполнения гибкой эндоскопии дыхательной и пищеварительной систем, включая установку для мойки эндоскопов, набор для эндоскопической резекции слизистой, баллонный дилататор</w:t>
      </w:r>
      <w:r w:rsidRPr="009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6537CF" w14:textId="77777777" w:rsidR="009C184C" w:rsidRPr="009C184C" w:rsidRDefault="009C184C" w:rsidP="009C1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2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анатомический зал (площадь - не менее 50 м</w:t>
      </w:r>
      <w:r w:rsidRPr="002D1E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предусмотренный</w:t>
      </w:r>
      <w:r w:rsidRPr="009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биологическими моделями и препаратами, оснащенный наглядными материалами: коллекции сухих и влажные анатомических, гистологических и патологоанатомических препаратов,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гельминтов, насекомых, биопрепаратов, муляжей пораженных и здоровых органов, учебные-цифровые стенды;</w:t>
      </w:r>
    </w:p>
    <w:p w14:paraId="621ACBA6" w14:textId="77777777" w:rsidR="009C184C" w:rsidRPr="009C184C" w:rsidRDefault="009C184C" w:rsidP="009C1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2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аудитории, оборудованные фантомной и </w:t>
      </w:r>
      <w:proofErr w:type="spellStart"/>
      <w:r w:rsidRPr="002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симуляционной</w:t>
      </w:r>
      <w:proofErr w:type="spellEnd"/>
      <w:r w:rsidRPr="002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</w:t>
      </w:r>
      <w:r w:rsidRPr="009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имитирующей врачебные манипуляции и вмешательства, позволяющие обучающимся осваивать умения и навыки, предусмотренные профессиональной деятельностью: тренажеры для проведения родовспоможения, искусственного осеменения и т.п.;</w:t>
      </w:r>
    </w:p>
    <w:p w14:paraId="39039C23" w14:textId="77777777" w:rsidR="009C184C" w:rsidRPr="009C184C" w:rsidRDefault="009C184C" w:rsidP="009C1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расходные материалы</w:t>
      </w:r>
      <w:r w:rsidRPr="009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количестве, позволяющем обучающимся индивидуально осваивать умения и навыки, а также иное оборудование, необходимое для реализации специализации программы интернатуры.</w:t>
      </w:r>
    </w:p>
    <w:p w14:paraId="5A89B5B7" w14:textId="77777777" w:rsidR="009C184C" w:rsidRPr="009C184C" w:rsidRDefault="009C184C" w:rsidP="009C1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замена оборудования его виртуальными аналогами.</w:t>
      </w:r>
    </w:p>
    <w:p w14:paraId="700D26DD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 Академия и университет должны быть обеспечены необходимым комплектом лицензионного программного обеспечения и (или)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(модулей, практик).</w:t>
      </w:r>
    </w:p>
    <w:p w14:paraId="4398D004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 Электронная информационно-образовательная среда должна обеспечивать одновременный доступ к системе не менее 25 процентов, обучающихся по программам интернатуры.</w:t>
      </w:r>
    </w:p>
    <w:p w14:paraId="5870FA4D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 литературы, перечисленной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13F3571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 Обучающимся должен быть обеспечен доступ (удаленный доступ), в том числе в случае применения электронного обучения, дистанционных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технологий, к базам данных и информационным справочным системам, состав которых определяется в рабочих программах дисциплин (модулей).</w:t>
      </w:r>
    </w:p>
    <w:p w14:paraId="70F1DEE1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18666231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Требования к кадровым условиям реализации программ интернатуры.</w:t>
      </w:r>
    </w:p>
    <w:bookmarkEnd w:id="11"/>
    <w:p w14:paraId="0A004BBD" w14:textId="39A2859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 Реализация программ</w:t>
      </w:r>
      <w:r w:rsid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обеспечивается педагогическими работниками академии и университета, а также лицами, привлекаемыми академией и университетом к реализации программ</w:t>
      </w:r>
      <w:r w:rsid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на иных условиях.</w:t>
      </w:r>
    </w:p>
    <w:p w14:paraId="48664330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 Квалификация педагогических работников академии и университета должна отвечать квалификационным требованиям, указанным в профессиональных стандартах (при наличии) и (или) в квалификационных справочниках.</w:t>
      </w:r>
    </w:p>
    <w:p w14:paraId="162C64C1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Доля педагогических работников академии и университета, участвующих в реализации программы интернатуры и лиц, привлекаемых академией и университетом к реализации программ интернатуры на иных условиях (исходя из количества замещаемых ставок, приведенного к целочисленным значениям), ведущих научную и (или) учебно-методическую и (или) практическую работу, соответствующую профилю преподаваемой(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дисциплин(ы) (модуля(ей)), должна составлять не менее 50 процентов.</w:t>
      </w:r>
    </w:p>
    <w:p w14:paraId="4021EB33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 Доля лиц, привлекаемых академией и университетом к реализации программы интернатуры на иных условиях (исходя из количества замещаемых ставок, приведенного к целочисленным значениям), являющихся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лет), должна составлять не менее 10 процентов.</w:t>
      </w:r>
    </w:p>
    <w:p w14:paraId="7048C802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 Доля педагогических работников академии и университета, и лиц, привлекаемых к образовательной деятельности академии и университета на иных условиях (исходя из количества замещаемых ставок, приведенного к целочисленным значениям), имеющих ученую степень (в том числе ученую степень, признаваемую в Российской Федерации) и (или) ученое звание (в том числе ученое звание, признаваемое в Российской Федерации), или приравненные к ним награды, международные почетные звания или премии, в том числе полученные в иностранном государстве и признанные в Российской Федерации и (или) государственные почетные звания в соответствующей профессиональной сфере, и (или)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лауреатства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премий в соответствующей профессиональной сфере должна составлять не менее 75 процентов.</w:t>
      </w:r>
    </w:p>
    <w:p w14:paraId="332DF5AE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Требования к финансовым условиям реализации программ интернатуры.</w:t>
      </w:r>
    </w:p>
    <w:p w14:paraId="0536DEEB" w14:textId="544CB44B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 Финансовое обеспечение реализации программ</w:t>
      </w:r>
      <w:r w:rsidR="003260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должно осуществляться в объеме не ниже значений базовых нормативов затрат на оказание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услуг по реализации программы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25129485" w14:textId="5564B6EC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Требования к применяемым механизмам оценки качества образовательной деятельности и подготовки обучающихся по программ</w:t>
      </w:r>
      <w:r w:rsidR="0032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интернатуры.</w:t>
      </w:r>
    </w:p>
    <w:p w14:paraId="54D8802A" w14:textId="56D9D334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 Качество образовательной деятельности и подготовки обучающихся по программ</w:t>
      </w:r>
      <w:r w:rsidR="0032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определяется в рамках системы внутренней оценки, а также системы внешней оценки в рамках государственного контроля качества образования.</w:t>
      </w:r>
    </w:p>
    <w:p w14:paraId="10B9C0E6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 В целях совершенствования программ интернатуры академия и университет при проведении регулярной внутренней оценки качества образовательной деятельности и подготовки обучающихся по программам интернатуры привлекает работодателей и (или) их объединения, иных юридических и (или) физических лиц, включая педагогических работников академии и университета.</w:t>
      </w:r>
    </w:p>
    <w:p w14:paraId="4129F1C6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внутренней системы оценки качества образовательной деятельности по программам интернатуры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0A9D8795" w14:textId="77777777" w:rsidR="0032602A" w:rsidRDefault="0032602A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FC3851" w14:textId="3F4C4BB0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bookmarkStart w:id="12" w:name="_Hlk118667220"/>
      <w:r w:rsidRPr="009C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ПРОГРАММЫ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ИНЕРНАТУРЫ </w:t>
      </w:r>
      <w:bookmarkEnd w:id="12"/>
    </w:p>
    <w:p w14:paraId="1C094502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92AE8" w14:textId="42C22305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Объем программы</w:t>
      </w:r>
      <w:r w:rsidR="009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применяемых образовательных технологий, реализации программ интернатуры с использованием сетевой формы, реализация программ</w:t>
      </w:r>
      <w:r w:rsidR="009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по индивидуальному учебному плану составляет 120 </w:t>
      </w:r>
      <w:proofErr w:type="spellStart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FBD34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Срок получения образования по программе (вне зависимости от применяемых образовательных технологий) в очной форме обучения, включая каникулы, предоставляемые после прохождения государственной итоговой аттестации, составляет 2 года.</w:t>
      </w:r>
    </w:p>
    <w:p w14:paraId="406A5333" w14:textId="5F667E34" w:rsidR="009C184C" w:rsidRPr="009C184C" w:rsidRDefault="009C184C" w:rsidP="009C184C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9B579B" w:rsidRPr="009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профессиональной деятельности, в которых выпускники, освоившие программу интернатуры, могут осуществлять профессиональную </w:t>
      </w:r>
      <w:r w:rsidR="009B579B" w:rsidRPr="009B5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="009B579B" w:rsidRPr="009B57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3"/>
      </w:r>
      <w:r w:rsidR="00537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A06A72A" w14:textId="77777777" w:rsidR="009C184C" w:rsidRPr="009C184C" w:rsidRDefault="009C184C" w:rsidP="009C184C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 Образование и наука (в сферах профессионального обучения, профессионального образования, дополнительного профессионального образования, научных исследований в области ветеринарии и фармации);</w:t>
      </w:r>
    </w:p>
    <w:p w14:paraId="7C47D5B7" w14:textId="77777777" w:rsidR="009C184C" w:rsidRPr="009C184C" w:rsidRDefault="009C184C" w:rsidP="009C184C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Сельское хозяйство (в сферах сохранения и обеспечения здоровья и повышение качества жизни животных; диагностики, профилактики и лечения заболеваний всех видов животных, в том числе птиц, пчел, рыб и гидробионтов; улучшения продуктивных качеств животных; ветеринарного контроля; судебно-ветеринарной и ветеринарно-санитарной экспертизы; обращения лекарственных средств для лечения и ухода за сельскохозяйственными и домашними животными).</w:t>
      </w:r>
    </w:p>
    <w:p w14:paraId="6ADEB70D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могут осуществлять профессиональную деятельность и в других областях профессиональной деятельности при условии соответствия уровня их образования и полученных компетенций требованиям к квалификации работника.</w:t>
      </w:r>
    </w:p>
    <w:p w14:paraId="7D216B60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В рамках освоения программы интернатуры выпускники могут готовиться к решению задач профессиональной деятельности следующих типов:</w:t>
      </w:r>
    </w:p>
    <w:p w14:paraId="0621333F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врачебно-производственный;</w:t>
      </w:r>
    </w:p>
    <w:p w14:paraId="42B7A49E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организационно-управленческий;</w:t>
      </w:r>
    </w:p>
    <w:p w14:paraId="1A332C19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исследовательский.</w:t>
      </w:r>
    </w:p>
    <w:p w14:paraId="25806086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Структура и объем программы интернатуры: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4549"/>
        <w:gridCol w:w="3872"/>
      </w:tblGrid>
      <w:tr w:rsidR="009C184C" w:rsidRPr="009C184C" w14:paraId="21D0381C" w14:textId="77777777" w:rsidTr="00CC5DBA">
        <w:trPr>
          <w:trHeight w:val="572"/>
          <w:jc w:val="center"/>
        </w:trPr>
        <w:tc>
          <w:tcPr>
            <w:tcW w:w="5825" w:type="dxa"/>
            <w:gridSpan w:val="2"/>
            <w:vAlign w:val="center"/>
          </w:tcPr>
          <w:p w14:paraId="4903C66D" w14:textId="77777777" w:rsidR="009C184C" w:rsidRPr="009C184C" w:rsidRDefault="009C184C" w:rsidP="009C18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программы интернатуры</w:t>
            </w:r>
          </w:p>
        </w:tc>
        <w:tc>
          <w:tcPr>
            <w:tcW w:w="3769" w:type="dxa"/>
            <w:vAlign w:val="center"/>
          </w:tcPr>
          <w:p w14:paraId="30E023F5" w14:textId="77777777" w:rsidR="009C184C" w:rsidRPr="009C184C" w:rsidRDefault="009C184C" w:rsidP="009C18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программы интернатуры и ее блоков, </w:t>
            </w:r>
            <w:proofErr w:type="spellStart"/>
            <w:r w:rsidRPr="009C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з.е</w:t>
            </w:r>
            <w:proofErr w:type="spellEnd"/>
            <w:r w:rsidRPr="009C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C184C" w:rsidRPr="009C184C" w14:paraId="3F56328E" w14:textId="77777777" w:rsidTr="00CC5DBA">
        <w:trPr>
          <w:trHeight w:val="485"/>
          <w:jc w:val="center"/>
        </w:trPr>
        <w:tc>
          <w:tcPr>
            <w:tcW w:w="1396" w:type="dxa"/>
            <w:vAlign w:val="center"/>
          </w:tcPr>
          <w:p w14:paraId="4C05564C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4429" w:type="dxa"/>
            <w:vAlign w:val="center"/>
          </w:tcPr>
          <w:p w14:paraId="03CC906F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3769" w:type="dxa"/>
            <w:vAlign w:val="center"/>
          </w:tcPr>
          <w:p w14:paraId="59CD983D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42</w:t>
            </w:r>
          </w:p>
        </w:tc>
      </w:tr>
      <w:tr w:rsidR="009C184C" w:rsidRPr="009C184C" w14:paraId="1489B1BA" w14:textId="77777777" w:rsidTr="00CC5DBA">
        <w:trPr>
          <w:trHeight w:val="406"/>
          <w:jc w:val="center"/>
        </w:trPr>
        <w:tc>
          <w:tcPr>
            <w:tcW w:w="1396" w:type="dxa"/>
            <w:vAlign w:val="center"/>
          </w:tcPr>
          <w:p w14:paraId="68DE359E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4429" w:type="dxa"/>
            <w:vAlign w:val="center"/>
          </w:tcPr>
          <w:p w14:paraId="2FBBEBE8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769" w:type="dxa"/>
            <w:vAlign w:val="center"/>
          </w:tcPr>
          <w:p w14:paraId="5755E046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66</w:t>
            </w:r>
          </w:p>
        </w:tc>
      </w:tr>
      <w:tr w:rsidR="009C184C" w:rsidRPr="009C184C" w14:paraId="66217B30" w14:textId="77777777" w:rsidTr="00CC5DBA">
        <w:trPr>
          <w:trHeight w:val="421"/>
          <w:jc w:val="center"/>
        </w:trPr>
        <w:tc>
          <w:tcPr>
            <w:tcW w:w="1396" w:type="dxa"/>
            <w:vAlign w:val="center"/>
          </w:tcPr>
          <w:p w14:paraId="0173ED50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4429" w:type="dxa"/>
            <w:vAlign w:val="center"/>
          </w:tcPr>
          <w:p w14:paraId="5763C724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769" w:type="dxa"/>
            <w:vAlign w:val="center"/>
          </w:tcPr>
          <w:p w14:paraId="29DB88F2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</w:t>
            </w:r>
          </w:p>
        </w:tc>
      </w:tr>
      <w:tr w:rsidR="009C184C" w:rsidRPr="009C184C" w14:paraId="7E5E73C7" w14:textId="77777777" w:rsidTr="00CC5DBA">
        <w:trPr>
          <w:trHeight w:val="427"/>
          <w:jc w:val="center"/>
        </w:trPr>
        <w:tc>
          <w:tcPr>
            <w:tcW w:w="5825" w:type="dxa"/>
            <w:gridSpan w:val="2"/>
            <w:vAlign w:val="center"/>
          </w:tcPr>
          <w:p w14:paraId="2D7FC106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69" w:type="dxa"/>
            <w:vAlign w:val="center"/>
          </w:tcPr>
          <w:p w14:paraId="191CBBD4" w14:textId="77777777" w:rsidR="009C184C" w:rsidRPr="009C184C" w:rsidRDefault="009C184C" w:rsidP="009C18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14:paraId="088C893D" w14:textId="77777777" w:rsidR="009C184C" w:rsidRPr="009C184C" w:rsidRDefault="009C184C" w:rsidP="009C184C">
      <w:pPr>
        <w:autoSpaceDE w:val="0"/>
        <w:autoSpaceDN w:val="0"/>
        <w:adjustRightInd w:val="0"/>
        <w:spacing w:before="120"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19273659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bookmarkStart w:id="14" w:name="_Hlk119274714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Блок 2 «Практика» предусматривает следующие типы практики:</w:t>
      </w:r>
    </w:p>
    <w:p w14:paraId="1279AB06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производственной практики:</w:t>
      </w:r>
    </w:p>
    <w:p w14:paraId="60A2D20E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врачебно-клиническая практика;</w:t>
      </w:r>
      <w:bookmarkEnd w:id="13"/>
      <w:bookmarkEnd w:id="14"/>
    </w:p>
    <w:p w14:paraId="61614ADC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работа.</w:t>
      </w:r>
    </w:p>
    <w:p w14:paraId="6C81C9B6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проводятся в организациях, соответствующих специализации программы интернатуры.</w:t>
      </w:r>
    </w:p>
    <w:p w14:paraId="4A244B9E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форме практической подготовки осуществляется в учебных, учебно-производственных лабораториях, специализированных помещениях учебно-опытных хозяйств, учебных полигонов, на учебных базах практики, в клиниках и в иных структурных подразделениях образовательной организации, и предназначенных для практической подготовки в порядке, предусмотренном локальным актом, а также в специально оборудованных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помещениях (рабочих местах профильных организаций), указанных в рабочих программах дисциплин (практик), на основании договора установленной формы.</w:t>
      </w:r>
    </w:p>
    <w:p w14:paraId="6D75DA04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лиц с ОВЗ выбор мест прохождения практик должен учитывать состояние здоровья и требования по доступности.</w:t>
      </w:r>
    </w:p>
    <w:p w14:paraId="5D39C1B0" w14:textId="651BF7E8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bookmarkStart w:id="15" w:name="_Hlk118669566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интернатуры должна устанавливать следующие общепрофессиональные компетенции</w:t>
      </w:r>
      <w:r w:rsidR="0053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ОПК)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18668523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обучения по их достижению</w:t>
      </w:r>
      <w:bookmarkEnd w:id="15"/>
      <w:bookmarkEnd w:id="16"/>
      <w:r w:rsidRPr="009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BC86F0F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9" w:type="dxa"/>
        <w:jc w:val="center"/>
        <w:tblLayout w:type="fixed"/>
        <w:tblLook w:val="00A0" w:firstRow="1" w:lastRow="0" w:firstColumn="1" w:lastColumn="0" w:noHBand="0" w:noVBand="0"/>
      </w:tblPr>
      <w:tblGrid>
        <w:gridCol w:w="980"/>
        <w:gridCol w:w="2167"/>
        <w:gridCol w:w="2653"/>
        <w:gridCol w:w="3529"/>
      </w:tblGrid>
      <w:tr w:rsidR="009C184C" w:rsidRPr="009C184C" w14:paraId="093D1CED" w14:textId="77777777" w:rsidTr="00CC5DBA">
        <w:trPr>
          <w:trHeight w:val="437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3811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14:paraId="30C89EB2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CE730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</w:t>
            </w: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BB8" w14:textId="77777777" w:rsidR="009C184C" w:rsidRPr="009C184C" w:rsidRDefault="009C184C" w:rsidP="009C18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C184C" w:rsidRPr="009C184C" w14:paraId="40526D99" w14:textId="77777777" w:rsidTr="00CC5DBA">
        <w:trPr>
          <w:trHeight w:val="70"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3BA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FD0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612" w14:textId="77777777" w:rsidR="009C184C" w:rsidRPr="009C184C" w:rsidRDefault="009C184C" w:rsidP="009C18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5E0" w14:textId="77777777" w:rsidR="009C184C" w:rsidRPr="009C184C" w:rsidRDefault="009C184C" w:rsidP="009C18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9C184C" w:rsidRPr="009C184C" w14:paraId="26625A39" w14:textId="77777777" w:rsidTr="00CC5DBA">
        <w:trPr>
          <w:trHeight w:val="38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35DA6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C85B0" w14:textId="77777777" w:rsidR="009C184C" w:rsidRPr="009C184C" w:rsidRDefault="009C184C" w:rsidP="009C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в профессиональной деятельности методы диагностики для обеспечения здоровья животных при хирургических патологиях с использованием современной приборно-инструментальной базы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1AFB8" w14:textId="77777777" w:rsidR="009C184C" w:rsidRPr="009C184C" w:rsidRDefault="009C184C" w:rsidP="009C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и характеристику </w:t>
            </w:r>
            <w:r w:rsidRPr="009C1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приборно-инструментальной базы, используемой</w:t>
            </w: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лабораторных и диагностических целях, принципы её применения в диагностике хирургических патологий у животных, современные методологические подходы к постановке диагноза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EE636" w14:textId="77777777" w:rsidR="009C184C" w:rsidRPr="009C184C" w:rsidRDefault="009C184C" w:rsidP="009C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исследования с использованием современной приборно-инструментальной базы, разрабатывать алгоритм диагностики хирургических болезней животных, выявлять причины возникновения хирургических патологий на основе дифференциально-диагностических критериев </w:t>
            </w: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видовых и породных особенностей</w:t>
            </w:r>
          </w:p>
        </w:tc>
      </w:tr>
      <w:tr w:rsidR="009C184C" w:rsidRPr="009C184C" w14:paraId="770C01D7" w14:textId="77777777" w:rsidTr="00CC5DBA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475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E55F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оценивать и анализировать риски развития хирургических патологий у животных при воздействии на них факторов внешней и внутренней среды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688B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проведения специальных диагностических мероприятий для определения состояния здоровья животных, установления причин и разработки алгоритмов хирургического лечения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803A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анализировать данные современных специальных методов диагностики для определения рисков развития хирургических заболеваний животных, планировать меры по их предупреждению и развитию </w:t>
            </w:r>
          </w:p>
        </w:tc>
      </w:tr>
      <w:tr w:rsidR="009C184C" w:rsidRPr="009C184C" w14:paraId="49D9DB4F" w14:textId="77777777" w:rsidTr="00CC5DBA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DF8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61F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разрабатывать и применять актуальные методы профилактики и лечения животных с хирургическими </w:t>
            </w: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 с использованием современного программного обеспечения и сквозных цифровых технологий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717C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современное программное обеспечение и сквозные цифровые технологии для разработки и применения методов профилактики </w:t>
            </w: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хирургических болезней и лечения животных с хирургическими патологиями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942A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современное программное обеспечение и сквозные цифровые технологии для профилактики хирургических болезней и лечения животных с хирургическими патологиями</w:t>
            </w:r>
          </w:p>
        </w:tc>
      </w:tr>
      <w:tr w:rsidR="009C184C" w:rsidRPr="009C184C" w14:paraId="01C50671" w14:textId="77777777" w:rsidTr="00CC5DBA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4D8D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EA9F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оценивать риск возникновения и распространения особо опасных болезней животных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ABC7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нормативно-правовую базу проведения мероприятий по идентификации и оценке риска возникновения и распространения особо опасных болезней животных и ликвидации эпизоотического очага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F36" w14:textId="77777777" w:rsidR="009C184C" w:rsidRPr="009C184C" w:rsidRDefault="009C184C" w:rsidP="009C18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мероприятия по идентификации, оценке риска возникновения, распространения болезней животных и ликвидации эпизоотического очага</w:t>
            </w:r>
          </w:p>
        </w:tc>
      </w:tr>
    </w:tbl>
    <w:p w14:paraId="7E94DF22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12380" w14:textId="32842D41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При разработке программы интернатуры специализация определяется согласно следующему перечню:</w:t>
      </w:r>
    </w:p>
    <w:p w14:paraId="4DFBB18D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40694176"/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Ветеринарная хирургия</w:t>
      </w:r>
    </w:p>
    <w:p w14:paraId="4BD75613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Ветеринарная ортопедия</w:t>
      </w:r>
    </w:p>
    <w:p w14:paraId="1F0DE74E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C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Ветеринарная нейрохирургия</w:t>
      </w:r>
    </w:p>
    <w:p w14:paraId="736F4AFD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Ветеринарная офтальмология</w:t>
      </w:r>
    </w:p>
    <w:p w14:paraId="0F9CB9D5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Ветеринарная анестезиология</w:t>
      </w:r>
    </w:p>
    <w:p w14:paraId="0A91E5D7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Ветеринарная стоматология и челюстно-лицевая хирургия</w:t>
      </w:r>
    </w:p>
    <w:p w14:paraId="1A2B2B32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Воспроизводство животных</w:t>
      </w:r>
    </w:p>
    <w:p w14:paraId="0524D896" w14:textId="77777777" w:rsidR="009C184C" w:rsidRPr="009C184C" w:rsidRDefault="009C184C" w:rsidP="009C18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Ветеринарная эндоскопия</w:t>
      </w:r>
    </w:p>
    <w:p w14:paraId="7195A78A" w14:textId="77777777" w:rsidR="009C184C" w:rsidRPr="009C184C" w:rsidRDefault="009C184C" w:rsidP="009C184C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7"/>
      <w:bookmarkEnd w:id="18"/>
    </w:p>
    <w:sectPr w:rsidR="009C184C" w:rsidRPr="009C184C" w:rsidSect="00B1661A"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D5F4C" w14:textId="77777777" w:rsidR="00883E34" w:rsidRDefault="00883E34" w:rsidP="009B624A">
      <w:pPr>
        <w:spacing w:after="0" w:line="240" w:lineRule="auto"/>
      </w:pPr>
      <w:r>
        <w:separator/>
      </w:r>
    </w:p>
  </w:endnote>
  <w:endnote w:type="continuationSeparator" w:id="0">
    <w:p w14:paraId="2C1C2BB7" w14:textId="77777777" w:rsidR="00883E34" w:rsidRDefault="00883E34" w:rsidP="009B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EC505" w14:textId="77777777" w:rsidR="00883E34" w:rsidRDefault="00883E34" w:rsidP="009B624A">
      <w:pPr>
        <w:spacing w:after="0" w:line="240" w:lineRule="auto"/>
      </w:pPr>
      <w:r>
        <w:separator/>
      </w:r>
    </w:p>
  </w:footnote>
  <w:footnote w:type="continuationSeparator" w:id="0">
    <w:p w14:paraId="21365D90" w14:textId="77777777" w:rsidR="00883E34" w:rsidRDefault="00883E34" w:rsidP="009B624A">
      <w:pPr>
        <w:spacing w:after="0" w:line="240" w:lineRule="auto"/>
      </w:pPr>
      <w:r>
        <w:continuationSeparator/>
      </w:r>
    </w:p>
  </w:footnote>
  <w:footnote w:id="1">
    <w:p w14:paraId="00058F25" w14:textId="602517C0" w:rsidR="001901FE" w:rsidRPr="001901FE" w:rsidRDefault="001901FE">
      <w:pPr>
        <w:pStyle w:val="af5"/>
        <w:rPr>
          <w:rFonts w:ascii="Times New Roman" w:eastAsia="Times New Roman" w:hAnsi="Times New Roman" w:cs="Times New Roman"/>
          <w:lang w:eastAsia="ru-RU"/>
        </w:rPr>
      </w:pPr>
      <w:r>
        <w:rPr>
          <w:rStyle w:val="af7"/>
        </w:rPr>
        <w:footnoteRef/>
      </w:r>
      <w:r>
        <w:t xml:space="preserve"> </w:t>
      </w:r>
      <w:r w:rsidRPr="001901FE">
        <w:rPr>
          <w:rFonts w:ascii="Times New Roman" w:eastAsia="Times New Roman" w:hAnsi="Times New Roman" w:cs="Times New Roman"/>
          <w:lang w:eastAsia="ru-RU"/>
        </w:rPr>
        <w:t>Статья 14 Федерального закона от 29 декабря 2012 г. № 273-ФЗ "Об образовании в Российской Федерации" (Собрание законодательства Российской Федерации, 2012, № 53, ст. 7598; 2018, № 32, ст. 5110)</w:t>
      </w:r>
    </w:p>
  </w:footnote>
  <w:footnote w:id="2">
    <w:p w14:paraId="6368E3CD" w14:textId="77777777" w:rsidR="005059EE" w:rsidRPr="00F5301E" w:rsidRDefault="005059EE" w:rsidP="005059EE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F5301E">
        <w:rPr>
          <w:rFonts w:ascii="Times New Roman" w:hAnsi="Times New Roman" w:cs="Times New Roman"/>
        </w:rPr>
        <w:t>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регистрационный № 46168).</w:t>
      </w:r>
    </w:p>
  </w:footnote>
  <w:footnote w:id="3">
    <w:p w14:paraId="3091CA5B" w14:textId="54B4AD03" w:rsidR="009B579B" w:rsidRPr="009B579B" w:rsidRDefault="009B579B" w:rsidP="009B579B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A26194">
        <w:t xml:space="preserve"> </w:t>
      </w:r>
      <w:r w:rsidRPr="009B579B">
        <w:rPr>
          <w:rFonts w:ascii="Times New Roman" w:hAnsi="Times New Roman" w:cs="Times New Roman"/>
        </w:rPr>
        <w:t xml:space="preserve">Таблица приложения к приказу Министерства труда и социальной защиты Российской Федерации от 29 сентября 2014 г. </w:t>
      </w:r>
      <w:r w:rsidR="00802DA3">
        <w:rPr>
          <w:rFonts w:ascii="Times New Roman" w:hAnsi="Times New Roman" w:cs="Times New Roman"/>
        </w:rPr>
        <w:t>№</w:t>
      </w:r>
      <w:r w:rsidRPr="009B579B">
        <w:rPr>
          <w:rFonts w:ascii="Times New Roman" w:hAnsi="Times New Roman" w:cs="Times New Roman"/>
        </w:rPr>
        <w:t xml:space="preserve"> 667н </w:t>
      </w:r>
      <w:r w:rsidR="00802DA3">
        <w:rPr>
          <w:rFonts w:ascii="Times New Roman" w:hAnsi="Times New Roman" w:cs="Times New Roman"/>
        </w:rPr>
        <w:t>«</w:t>
      </w:r>
      <w:r w:rsidRPr="009B579B">
        <w:rPr>
          <w:rFonts w:ascii="Times New Roman" w:hAnsi="Times New Roman" w:cs="Times New Roman"/>
        </w:rPr>
        <w:t>О реестре профессиональных стандартов (перечне видов профессиональной деятельности)</w:t>
      </w:r>
      <w:r w:rsidR="00802DA3">
        <w:rPr>
          <w:rFonts w:ascii="Times New Roman" w:hAnsi="Times New Roman" w:cs="Times New Roman"/>
        </w:rPr>
        <w:t>»</w:t>
      </w:r>
      <w:r w:rsidRPr="009B579B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19 ноября 2014 г., регистрационный </w:t>
      </w:r>
      <w:r w:rsidR="00802DA3">
        <w:rPr>
          <w:rFonts w:ascii="Times New Roman" w:hAnsi="Times New Roman" w:cs="Times New Roman"/>
        </w:rPr>
        <w:t>№</w:t>
      </w:r>
      <w:r w:rsidRPr="009B579B">
        <w:rPr>
          <w:rFonts w:ascii="Times New Roman" w:hAnsi="Times New Roman" w:cs="Times New Roman"/>
        </w:rPr>
        <w:t xml:space="preserve"> 34779) с изменением, </w:t>
      </w:r>
      <w:proofErr w:type="spellStart"/>
      <w:r w:rsidRPr="009B579B">
        <w:rPr>
          <w:rFonts w:ascii="Times New Roman" w:hAnsi="Times New Roman" w:cs="Times New Roman"/>
        </w:rPr>
        <w:t>внесенны</w:t>
      </w:r>
      <w:proofErr w:type="spellEnd"/>
      <w:r w:rsidRPr="009B579B">
        <w:rPr>
          <w:rFonts w:ascii="Times New Roman" w:hAnsi="Times New Roman" w:cs="Times New Roman"/>
        </w:rPr>
        <w:t xml:space="preserve"> приказом Министерства труда и социальной защиты Российской Федерации от 9 марта 2017 г. </w:t>
      </w:r>
      <w:r w:rsidR="00802DA3">
        <w:rPr>
          <w:rFonts w:ascii="Times New Roman" w:hAnsi="Times New Roman" w:cs="Times New Roman"/>
        </w:rPr>
        <w:t>№</w:t>
      </w:r>
      <w:r w:rsidRPr="009B579B">
        <w:rPr>
          <w:rFonts w:ascii="Times New Roman" w:hAnsi="Times New Roman" w:cs="Times New Roman"/>
        </w:rPr>
        <w:t xml:space="preserve"> 254н (зарегистрирован Министерством юстиции Российской Федерации 29 марта 2017 г., </w:t>
      </w:r>
      <w:r w:rsidR="00802DA3">
        <w:rPr>
          <w:rFonts w:ascii="Times New Roman" w:hAnsi="Times New Roman" w:cs="Times New Roman"/>
        </w:rPr>
        <w:t>р</w:t>
      </w:r>
      <w:r w:rsidRPr="009B579B">
        <w:rPr>
          <w:rFonts w:ascii="Times New Roman" w:hAnsi="Times New Roman" w:cs="Times New Roman"/>
        </w:rPr>
        <w:t xml:space="preserve">егистрационный </w:t>
      </w:r>
      <w:r w:rsidR="00802DA3">
        <w:rPr>
          <w:rFonts w:ascii="Times New Roman" w:hAnsi="Times New Roman" w:cs="Times New Roman"/>
        </w:rPr>
        <w:t>№</w:t>
      </w:r>
      <w:r w:rsidRPr="009B579B">
        <w:rPr>
          <w:rFonts w:ascii="Times New Roman" w:hAnsi="Times New Roman" w:cs="Times New Roman"/>
        </w:rPr>
        <w:t xml:space="preserve"> 46168).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21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C806BE" w14:textId="55CFD567" w:rsidR="00ED01F5" w:rsidRPr="006E2D18" w:rsidRDefault="00ED01F5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2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D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33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E2D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7F8ECA" w14:textId="77777777" w:rsidR="00ED01F5" w:rsidRPr="006E2D18" w:rsidRDefault="00ED01F5">
    <w:pPr>
      <w:pStyle w:val="af1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CA0"/>
    <w:multiLevelType w:val="hybridMultilevel"/>
    <w:tmpl w:val="B442B484"/>
    <w:lvl w:ilvl="0" w:tplc="8F683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B43"/>
    <w:multiLevelType w:val="hybridMultilevel"/>
    <w:tmpl w:val="7C8EC198"/>
    <w:lvl w:ilvl="0" w:tplc="A7A01C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C6516B"/>
    <w:multiLevelType w:val="hybridMultilevel"/>
    <w:tmpl w:val="8F3EDF2A"/>
    <w:lvl w:ilvl="0" w:tplc="FE466A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09"/>
    <w:rsid w:val="00011D40"/>
    <w:rsid w:val="00031960"/>
    <w:rsid w:val="00032746"/>
    <w:rsid w:val="000653AB"/>
    <w:rsid w:val="0008105E"/>
    <w:rsid w:val="000862AD"/>
    <w:rsid w:val="000B2D13"/>
    <w:rsid w:val="000F283E"/>
    <w:rsid w:val="00112422"/>
    <w:rsid w:val="001477D2"/>
    <w:rsid w:val="00147C1A"/>
    <w:rsid w:val="00154495"/>
    <w:rsid w:val="001901FE"/>
    <w:rsid w:val="001C45AF"/>
    <w:rsid w:val="001C4993"/>
    <w:rsid w:val="001C571C"/>
    <w:rsid w:val="001C5F98"/>
    <w:rsid w:val="001D650C"/>
    <w:rsid w:val="00201BCC"/>
    <w:rsid w:val="00213F72"/>
    <w:rsid w:val="00216976"/>
    <w:rsid w:val="00226E0C"/>
    <w:rsid w:val="00240494"/>
    <w:rsid w:val="0025720E"/>
    <w:rsid w:val="00274CA2"/>
    <w:rsid w:val="0028199F"/>
    <w:rsid w:val="002A6A51"/>
    <w:rsid w:val="002B6E52"/>
    <w:rsid w:val="002C028C"/>
    <w:rsid w:val="002C2774"/>
    <w:rsid w:val="002C4D9E"/>
    <w:rsid w:val="002C748B"/>
    <w:rsid w:val="002D1E05"/>
    <w:rsid w:val="002F0DC3"/>
    <w:rsid w:val="002F6528"/>
    <w:rsid w:val="003004AB"/>
    <w:rsid w:val="003148ED"/>
    <w:rsid w:val="0032602A"/>
    <w:rsid w:val="00341D43"/>
    <w:rsid w:val="0034586C"/>
    <w:rsid w:val="00350322"/>
    <w:rsid w:val="00380F5B"/>
    <w:rsid w:val="003961FE"/>
    <w:rsid w:val="003A1781"/>
    <w:rsid w:val="003A6CB5"/>
    <w:rsid w:val="003C09A9"/>
    <w:rsid w:val="0041542E"/>
    <w:rsid w:val="004528E6"/>
    <w:rsid w:val="0046644B"/>
    <w:rsid w:val="00481FA7"/>
    <w:rsid w:val="00483658"/>
    <w:rsid w:val="00484A5C"/>
    <w:rsid w:val="004C21D9"/>
    <w:rsid w:val="004E3981"/>
    <w:rsid w:val="005059EE"/>
    <w:rsid w:val="00511211"/>
    <w:rsid w:val="0053733D"/>
    <w:rsid w:val="00537616"/>
    <w:rsid w:val="005802B9"/>
    <w:rsid w:val="00583DE8"/>
    <w:rsid w:val="00585B8A"/>
    <w:rsid w:val="00593E9D"/>
    <w:rsid w:val="005B46B2"/>
    <w:rsid w:val="005C3749"/>
    <w:rsid w:val="00604F56"/>
    <w:rsid w:val="00607536"/>
    <w:rsid w:val="006079CB"/>
    <w:rsid w:val="00612DD8"/>
    <w:rsid w:val="00634AF8"/>
    <w:rsid w:val="00635E00"/>
    <w:rsid w:val="00641679"/>
    <w:rsid w:val="00682E3D"/>
    <w:rsid w:val="006B24A6"/>
    <w:rsid w:val="006C1B49"/>
    <w:rsid w:val="006E2D18"/>
    <w:rsid w:val="00705974"/>
    <w:rsid w:val="00707AFD"/>
    <w:rsid w:val="00743921"/>
    <w:rsid w:val="00752F89"/>
    <w:rsid w:val="00773050"/>
    <w:rsid w:val="00773E6C"/>
    <w:rsid w:val="007A1269"/>
    <w:rsid w:val="007A65B1"/>
    <w:rsid w:val="007B1289"/>
    <w:rsid w:val="007C7374"/>
    <w:rsid w:val="007D6CE6"/>
    <w:rsid w:val="007E00C6"/>
    <w:rsid w:val="007F6497"/>
    <w:rsid w:val="00802DA3"/>
    <w:rsid w:val="00820C1C"/>
    <w:rsid w:val="008314AB"/>
    <w:rsid w:val="00831B4A"/>
    <w:rsid w:val="00843B4C"/>
    <w:rsid w:val="00880D53"/>
    <w:rsid w:val="00883E34"/>
    <w:rsid w:val="008B3C0F"/>
    <w:rsid w:val="008E69B4"/>
    <w:rsid w:val="00926172"/>
    <w:rsid w:val="00941170"/>
    <w:rsid w:val="00951C67"/>
    <w:rsid w:val="009731AC"/>
    <w:rsid w:val="009A667E"/>
    <w:rsid w:val="009B579B"/>
    <w:rsid w:val="009B624A"/>
    <w:rsid w:val="009C184C"/>
    <w:rsid w:val="009D5880"/>
    <w:rsid w:val="00A053B5"/>
    <w:rsid w:val="00A411BA"/>
    <w:rsid w:val="00A41D3F"/>
    <w:rsid w:val="00A8123D"/>
    <w:rsid w:val="00A96EF4"/>
    <w:rsid w:val="00AA41EB"/>
    <w:rsid w:val="00AB32ED"/>
    <w:rsid w:val="00AC06D9"/>
    <w:rsid w:val="00AE6D49"/>
    <w:rsid w:val="00AF08A4"/>
    <w:rsid w:val="00AF527C"/>
    <w:rsid w:val="00B05D88"/>
    <w:rsid w:val="00B13727"/>
    <w:rsid w:val="00B1661A"/>
    <w:rsid w:val="00B219F2"/>
    <w:rsid w:val="00B36937"/>
    <w:rsid w:val="00B44411"/>
    <w:rsid w:val="00B539D3"/>
    <w:rsid w:val="00B8316B"/>
    <w:rsid w:val="00BC75A1"/>
    <w:rsid w:val="00BF0E59"/>
    <w:rsid w:val="00C47D5D"/>
    <w:rsid w:val="00C5256C"/>
    <w:rsid w:val="00C53C8E"/>
    <w:rsid w:val="00C62D92"/>
    <w:rsid w:val="00C643E6"/>
    <w:rsid w:val="00C71B1F"/>
    <w:rsid w:val="00C95230"/>
    <w:rsid w:val="00CA0011"/>
    <w:rsid w:val="00CA1407"/>
    <w:rsid w:val="00CD2AB2"/>
    <w:rsid w:val="00CE7AEF"/>
    <w:rsid w:val="00D22D06"/>
    <w:rsid w:val="00D43EF6"/>
    <w:rsid w:val="00D50304"/>
    <w:rsid w:val="00D85B83"/>
    <w:rsid w:val="00DB498A"/>
    <w:rsid w:val="00DE3947"/>
    <w:rsid w:val="00E07082"/>
    <w:rsid w:val="00E07C4C"/>
    <w:rsid w:val="00E20A2E"/>
    <w:rsid w:val="00E432FC"/>
    <w:rsid w:val="00E452E6"/>
    <w:rsid w:val="00E92CF5"/>
    <w:rsid w:val="00EA106A"/>
    <w:rsid w:val="00EA119C"/>
    <w:rsid w:val="00EB69CC"/>
    <w:rsid w:val="00EC5654"/>
    <w:rsid w:val="00ED01F5"/>
    <w:rsid w:val="00EE49C2"/>
    <w:rsid w:val="00EE7209"/>
    <w:rsid w:val="00F146B4"/>
    <w:rsid w:val="00F5301E"/>
    <w:rsid w:val="00F607DF"/>
    <w:rsid w:val="00F66946"/>
    <w:rsid w:val="00F77563"/>
    <w:rsid w:val="00FA4E17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18E"/>
  <w15:chartTrackingRefBased/>
  <w15:docId w15:val="{07AAE250-C8BD-42ED-9E37-081A1B40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концевой сноски1"/>
    <w:basedOn w:val="a"/>
    <w:next w:val="a4"/>
    <w:link w:val="a5"/>
    <w:uiPriority w:val="99"/>
    <w:semiHidden/>
    <w:unhideWhenUsed/>
    <w:rsid w:val="009B624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1"/>
    <w:uiPriority w:val="99"/>
    <w:semiHidden/>
    <w:rsid w:val="009B624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B624A"/>
    <w:rPr>
      <w:vertAlign w:val="superscript"/>
    </w:rPr>
  </w:style>
  <w:style w:type="paragraph" w:styleId="a4">
    <w:name w:val="endnote text"/>
    <w:basedOn w:val="a"/>
    <w:link w:val="10"/>
    <w:uiPriority w:val="99"/>
    <w:semiHidden/>
    <w:unhideWhenUsed/>
    <w:rsid w:val="009B624A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4"/>
    <w:uiPriority w:val="99"/>
    <w:semiHidden/>
    <w:rsid w:val="009B62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9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16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1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3B4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B69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69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69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69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69CC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E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2D18"/>
  </w:style>
  <w:style w:type="paragraph" w:styleId="af3">
    <w:name w:val="footer"/>
    <w:basedOn w:val="a"/>
    <w:link w:val="af4"/>
    <w:uiPriority w:val="99"/>
    <w:unhideWhenUsed/>
    <w:rsid w:val="006E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2D18"/>
  </w:style>
  <w:style w:type="paragraph" w:styleId="af5">
    <w:name w:val="footnote text"/>
    <w:basedOn w:val="a"/>
    <w:link w:val="af6"/>
    <w:uiPriority w:val="99"/>
    <w:semiHidden/>
    <w:unhideWhenUsed/>
    <w:rsid w:val="001901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901FE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190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BA6C-1EF6-436A-A922-BE9793CC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14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Канышкина Виктория Николаевна</dc:creator>
  <cp:keywords/>
  <dc:description/>
  <cp:lastModifiedBy>Попова Татьяна Сергеевна</cp:lastModifiedBy>
  <cp:revision>83</cp:revision>
  <cp:lastPrinted>2023-05-22T13:49:00Z</cp:lastPrinted>
  <dcterms:created xsi:type="dcterms:W3CDTF">2023-04-28T08:55:00Z</dcterms:created>
  <dcterms:modified xsi:type="dcterms:W3CDTF">2023-07-28T08:24:00Z</dcterms:modified>
</cp:coreProperties>
</file>